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B858" w14:textId="42FD7EC2" w:rsidR="0013307C" w:rsidRPr="0013307C" w:rsidRDefault="0013307C" w:rsidP="009B4ACF">
      <w:pPr>
        <w:pStyle w:val="Heading1"/>
        <w:ind w:left="708"/>
        <w:rPr>
          <w:lang w:val="en-GB"/>
        </w:rPr>
      </w:pPr>
      <w:r w:rsidRPr="0013307C">
        <w:rPr>
          <w:lang w:val="en-GB"/>
        </w:rPr>
        <w:t xml:space="preserve">Summit for </w:t>
      </w:r>
      <w:r w:rsidR="00552087">
        <w:rPr>
          <w:lang w:val="en-GB"/>
        </w:rPr>
        <w:t>D</w:t>
      </w:r>
      <w:r w:rsidRPr="0013307C">
        <w:rPr>
          <w:lang w:val="en-GB"/>
        </w:rPr>
        <w:t>emocracy</w:t>
      </w:r>
      <w:r w:rsidR="000B3DA2">
        <w:rPr>
          <w:lang w:val="en-GB"/>
        </w:rPr>
        <w:t xml:space="preserve"> c</w:t>
      </w:r>
      <w:r>
        <w:rPr>
          <w:lang w:val="en-GB"/>
        </w:rPr>
        <w:t xml:space="preserve">ohort on civic space. </w:t>
      </w:r>
    </w:p>
    <w:p w14:paraId="3681B6BB" w14:textId="6A9818B0" w:rsidR="00555406" w:rsidRDefault="00555406" w:rsidP="00DF65C8">
      <w:pPr>
        <w:pStyle w:val="NoSpacing"/>
        <w:rPr>
          <w:lang w:val="en-GB"/>
        </w:rPr>
      </w:pPr>
    </w:p>
    <w:p w14:paraId="67F7FE96" w14:textId="5FF818CB" w:rsidR="0036631C" w:rsidRPr="00155928" w:rsidRDefault="0036631C" w:rsidP="00DF65C8">
      <w:pPr>
        <w:pStyle w:val="NoSpacing"/>
        <w:rPr>
          <w:i/>
          <w:iCs/>
          <w:lang w:val="en-GB"/>
        </w:rPr>
      </w:pPr>
    </w:p>
    <w:p w14:paraId="43505D16" w14:textId="17E55DD9" w:rsidR="00114966" w:rsidRDefault="006015A9" w:rsidP="00114966">
      <w:pPr>
        <w:pStyle w:val="NoSpacing"/>
        <w:rPr>
          <w:lang w:val="en-GB"/>
        </w:rPr>
      </w:pPr>
      <w:r>
        <w:rPr>
          <w:lang w:val="en-GB"/>
        </w:rPr>
        <w:t>Norway</w:t>
      </w:r>
      <w:r w:rsidR="00742D36">
        <w:rPr>
          <w:lang w:val="en-GB"/>
        </w:rPr>
        <w:t xml:space="preserve">, the Czech </w:t>
      </w:r>
      <w:r w:rsidR="005A0D2C">
        <w:rPr>
          <w:lang w:val="en-GB"/>
        </w:rPr>
        <w:t>Republic,</w:t>
      </w:r>
      <w:r w:rsidR="00742D36">
        <w:rPr>
          <w:lang w:val="en-GB"/>
        </w:rPr>
        <w:t xml:space="preserve"> and the International Center for Not-for-</w:t>
      </w:r>
      <w:r w:rsidR="00AB0D87">
        <w:rPr>
          <w:lang w:val="en-GB"/>
        </w:rPr>
        <w:t>Profit</w:t>
      </w:r>
      <w:r w:rsidR="00742D36">
        <w:rPr>
          <w:lang w:val="en-GB"/>
        </w:rPr>
        <w:t xml:space="preserve"> Law</w:t>
      </w:r>
      <w:r w:rsidR="00E041AD">
        <w:rPr>
          <w:lang w:val="en-GB"/>
        </w:rPr>
        <w:t xml:space="preserve"> </w:t>
      </w:r>
      <w:r w:rsidR="00742D36">
        <w:rPr>
          <w:lang w:val="en-GB"/>
        </w:rPr>
        <w:t xml:space="preserve">(ICNL) will </w:t>
      </w:r>
      <w:r w:rsidR="005A0D2C">
        <w:rPr>
          <w:lang w:val="en-GB"/>
        </w:rPr>
        <w:t>jointly lead</w:t>
      </w:r>
      <w:r>
        <w:rPr>
          <w:lang w:val="en-GB"/>
        </w:rPr>
        <w:t xml:space="preserve"> a </w:t>
      </w:r>
      <w:r w:rsidR="00552087">
        <w:rPr>
          <w:lang w:val="en-GB"/>
        </w:rPr>
        <w:t xml:space="preserve">democracy </w:t>
      </w:r>
      <w:r>
        <w:rPr>
          <w:lang w:val="en-GB"/>
        </w:rPr>
        <w:t xml:space="preserve">cohort on civic space </w:t>
      </w:r>
      <w:r w:rsidR="0046436F">
        <w:rPr>
          <w:lang w:val="en-GB"/>
        </w:rPr>
        <w:t xml:space="preserve">under the Summit for Democracy year of action. </w:t>
      </w:r>
    </w:p>
    <w:p w14:paraId="40E4C6A1" w14:textId="4BDC12B7" w:rsidR="0046436F" w:rsidRDefault="0046436F" w:rsidP="00DF65C8">
      <w:pPr>
        <w:pStyle w:val="NoSpacing"/>
        <w:rPr>
          <w:lang w:val="en-GB"/>
        </w:rPr>
      </w:pPr>
    </w:p>
    <w:p w14:paraId="54C6D0B1" w14:textId="6A410AD0" w:rsidR="000A08B1" w:rsidRDefault="000A08B1" w:rsidP="00DF65C8">
      <w:pPr>
        <w:pStyle w:val="NoSpacing"/>
        <w:rPr>
          <w:lang w:val="en-GB"/>
        </w:rPr>
      </w:pPr>
      <w:r w:rsidRPr="00155928">
        <w:rPr>
          <w:i/>
          <w:iCs/>
          <w:lang w:val="en-GB"/>
        </w:rPr>
        <w:t>Background:</w:t>
      </w:r>
    </w:p>
    <w:p w14:paraId="710C9513" w14:textId="2B76B202" w:rsidR="00FC33C9" w:rsidRDefault="00BF2141" w:rsidP="00C77BD1">
      <w:pPr>
        <w:pStyle w:val="NoSpacing"/>
        <w:rPr>
          <w:lang w:val="en-GB"/>
        </w:rPr>
      </w:pPr>
      <w:r>
        <w:rPr>
          <w:lang w:val="en-GB"/>
        </w:rPr>
        <w:t xml:space="preserve">Civic </w:t>
      </w:r>
      <w:r w:rsidR="0065511F">
        <w:rPr>
          <w:lang w:val="en-GB"/>
        </w:rPr>
        <w:t>space</w:t>
      </w:r>
      <w:r w:rsidR="0065511F">
        <w:rPr>
          <w:rStyle w:val="FootnoteReference"/>
          <w:lang w:val="en-GB"/>
        </w:rPr>
        <w:footnoteReference w:id="1"/>
      </w:r>
      <w:r w:rsidR="0065511F">
        <w:rPr>
          <w:lang w:val="en-GB"/>
        </w:rPr>
        <w:t xml:space="preserve"> </w:t>
      </w:r>
      <w:r>
        <w:rPr>
          <w:lang w:val="en-GB"/>
        </w:rPr>
        <w:t>is the bedrock of an</w:t>
      </w:r>
      <w:r w:rsidR="00916F84">
        <w:rPr>
          <w:lang w:val="en-GB"/>
        </w:rPr>
        <w:t xml:space="preserve"> </w:t>
      </w:r>
      <w:r w:rsidR="006015A9">
        <w:rPr>
          <w:lang w:val="en-GB"/>
        </w:rPr>
        <w:t>open and inclusive democrac</w:t>
      </w:r>
      <w:r w:rsidR="00916F84">
        <w:rPr>
          <w:lang w:val="en-GB"/>
        </w:rPr>
        <w:t>y</w:t>
      </w:r>
      <w:r w:rsidR="00EC22A2">
        <w:rPr>
          <w:lang w:val="en-GB"/>
        </w:rPr>
        <w:t xml:space="preserve">. </w:t>
      </w:r>
      <w:r w:rsidR="00B828EB">
        <w:rPr>
          <w:lang w:val="en-GB"/>
        </w:rPr>
        <w:t>For citizens and civil society to organise, participate and communicate to claim their rights and influence the political and social structures</w:t>
      </w:r>
      <w:r w:rsidR="00114966">
        <w:rPr>
          <w:lang w:val="en-GB"/>
        </w:rPr>
        <w:t xml:space="preserve"> – hallmarks of democracy – </w:t>
      </w:r>
      <w:r w:rsidR="00B828EB">
        <w:rPr>
          <w:lang w:val="en-GB"/>
        </w:rPr>
        <w:t xml:space="preserve">they need an open civic space. </w:t>
      </w:r>
      <w:proofErr w:type="gramStart"/>
      <w:r w:rsidR="00FC33C9">
        <w:rPr>
          <w:lang w:val="en-GB"/>
        </w:rPr>
        <w:t>In order to</w:t>
      </w:r>
      <w:proofErr w:type="gramEnd"/>
      <w:r w:rsidR="00FC33C9">
        <w:rPr>
          <w:lang w:val="en-GB"/>
        </w:rPr>
        <w:t xml:space="preserve"> safeguard </w:t>
      </w:r>
      <w:r w:rsidR="00B828EB">
        <w:rPr>
          <w:lang w:val="en-GB"/>
        </w:rPr>
        <w:t xml:space="preserve">civic space, states </w:t>
      </w:r>
      <w:r w:rsidR="00FC33C9">
        <w:rPr>
          <w:lang w:val="en-GB"/>
        </w:rPr>
        <w:t xml:space="preserve">should </w:t>
      </w:r>
      <w:r w:rsidR="00B828EB">
        <w:rPr>
          <w:lang w:val="en-GB"/>
        </w:rPr>
        <w:t>create and maintain</w:t>
      </w:r>
      <w:r w:rsidR="00C77BD1">
        <w:rPr>
          <w:lang w:val="en-GB"/>
        </w:rPr>
        <w:t xml:space="preserve"> a safe and enabling environment for civil society organisations and human rights defender</w:t>
      </w:r>
      <w:r w:rsidR="00B828EB">
        <w:rPr>
          <w:lang w:val="en-GB"/>
        </w:rPr>
        <w:t>s</w:t>
      </w:r>
      <w:r w:rsidR="00DD324D">
        <w:rPr>
          <w:lang w:val="en-GB"/>
        </w:rPr>
        <w:t xml:space="preserve">. A safe and enabling environment </w:t>
      </w:r>
      <w:r w:rsidR="00B828EB">
        <w:rPr>
          <w:lang w:val="en-GB"/>
        </w:rPr>
        <w:t>includ</w:t>
      </w:r>
      <w:r w:rsidR="00DD324D">
        <w:rPr>
          <w:lang w:val="en-GB"/>
        </w:rPr>
        <w:t>es</w:t>
      </w:r>
      <w:r w:rsidR="00C77BD1">
        <w:rPr>
          <w:lang w:val="en-GB"/>
        </w:rPr>
        <w:t xml:space="preserve"> </w:t>
      </w:r>
      <w:r w:rsidR="00DD324D">
        <w:rPr>
          <w:lang w:val="en-GB"/>
        </w:rPr>
        <w:t>guaranteeing r</w:t>
      </w:r>
      <w:r w:rsidR="00C77BD1">
        <w:rPr>
          <w:lang w:val="en-GB"/>
        </w:rPr>
        <w:t>espect for the rights to freedom of association, peaceful assembly, and freedom of expression</w:t>
      </w:r>
      <w:r w:rsidR="00DD324D">
        <w:rPr>
          <w:lang w:val="en-GB"/>
        </w:rPr>
        <w:t xml:space="preserve">. It entails protection </w:t>
      </w:r>
      <w:r w:rsidR="0065511F">
        <w:rPr>
          <w:lang w:val="en-GB"/>
        </w:rPr>
        <w:t>from threat</w:t>
      </w:r>
      <w:r w:rsidR="001F7163">
        <w:rPr>
          <w:lang w:val="en-GB"/>
        </w:rPr>
        <w:t>s</w:t>
      </w:r>
      <w:r w:rsidR="0065511F">
        <w:rPr>
          <w:lang w:val="en-GB"/>
        </w:rPr>
        <w:t xml:space="preserve"> </w:t>
      </w:r>
      <w:r w:rsidR="001F7163">
        <w:rPr>
          <w:lang w:val="en-GB"/>
        </w:rPr>
        <w:t xml:space="preserve">or </w:t>
      </w:r>
      <w:r w:rsidR="0065511F">
        <w:rPr>
          <w:lang w:val="en-GB"/>
        </w:rPr>
        <w:t xml:space="preserve">harm, as well as </w:t>
      </w:r>
      <w:r w:rsidR="001F7163">
        <w:rPr>
          <w:lang w:val="en-GB"/>
        </w:rPr>
        <w:t>ensuring</w:t>
      </w:r>
      <w:r w:rsidR="0065511F">
        <w:rPr>
          <w:lang w:val="en-GB"/>
        </w:rPr>
        <w:t xml:space="preserve"> that the legal, regulatory and policy framework for national civil society does not impede their ability to work. </w:t>
      </w:r>
    </w:p>
    <w:p w14:paraId="0766F960" w14:textId="2C6D2558" w:rsidR="00C77BD1" w:rsidRDefault="00C77BD1" w:rsidP="00C77BD1">
      <w:pPr>
        <w:pStyle w:val="NoSpacing"/>
        <w:rPr>
          <w:lang w:val="en-GB"/>
        </w:rPr>
      </w:pPr>
    </w:p>
    <w:p w14:paraId="4FADBBF4" w14:textId="07EE7766" w:rsidR="00155928" w:rsidRPr="000A08B1" w:rsidRDefault="00155928" w:rsidP="00155928">
      <w:pPr>
        <w:pStyle w:val="NoSpacing"/>
        <w:rPr>
          <w:i/>
          <w:iCs/>
          <w:lang w:val="en-GB"/>
        </w:rPr>
      </w:pPr>
      <w:r w:rsidRPr="00155928">
        <w:rPr>
          <w:i/>
          <w:iCs/>
          <w:lang w:val="en-GB"/>
        </w:rPr>
        <w:t>Objective</w:t>
      </w:r>
      <w:r w:rsidR="00951A8A">
        <w:rPr>
          <w:i/>
          <w:iCs/>
          <w:lang w:val="en-GB"/>
        </w:rPr>
        <w:t xml:space="preserve"> and topics for discussion</w:t>
      </w:r>
      <w:r>
        <w:rPr>
          <w:i/>
          <w:iCs/>
          <w:lang w:val="en-GB"/>
        </w:rPr>
        <w:t>:</w:t>
      </w:r>
      <w:r w:rsidRPr="00155928">
        <w:rPr>
          <w:i/>
          <w:iCs/>
          <w:lang w:val="en-GB"/>
        </w:rPr>
        <w:t xml:space="preserve"> </w:t>
      </w:r>
    </w:p>
    <w:p w14:paraId="4A122E98" w14:textId="78C8B4F1" w:rsidR="00322C50" w:rsidRDefault="000A08B1" w:rsidP="00155928">
      <w:pPr>
        <w:pStyle w:val="NoSpacing"/>
        <w:rPr>
          <w:lang w:val="en-GB"/>
        </w:rPr>
      </w:pPr>
      <w:r>
        <w:rPr>
          <w:lang w:val="en-GB"/>
        </w:rPr>
        <w:t xml:space="preserve">The purpose of the cohort is to </w:t>
      </w:r>
      <w:r w:rsidR="00322C50">
        <w:rPr>
          <w:lang w:val="en-GB"/>
        </w:rPr>
        <w:t xml:space="preserve">identify common commitments to strengthen support to and protection of </w:t>
      </w:r>
      <w:r w:rsidR="00F05B8F">
        <w:rPr>
          <w:lang w:val="en-GB"/>
        </w:rPr>
        <w:t xml:space="preserve">civil society actors and </w:t>
      </w:r>
      <w:r>
        <w:rPr>
          <w:lang w:val="en-GB"/>
        </w:rPr>
        <w:t xml:space="preserve">civic space for democracy. The co-leads </w:t>
      </w:r>
      <w:r w:rsidR="00322C50">
        <w:rPr>
          <w:lang w:val="en-GB"/>
        </w:rPr>
        <w:t xml:space="preserve">suggest </w:t>
      </w:r>
      <w:proofErr w:type="gramStart"/>
      <w:r w:rsidR="00322C50">
        <w:rPr>
          <w:lang w:val="en-GB"/>
        </w:rPr>
        <w:t>to organize</w:t>
      </w:r>
      <w:proofErr w:type="gramEnd"/>
      <w:r w:rsidR="00322C50">
        <w:rPr>
          <w:lang w:val="en-GB"/>
        </w:rPr>
        <w:t xml:space="preserve"> discussions and recommendations in working streams under the leadership of different countries, depending on interest</w:t>
      </w:r>
      <w:r w:rsidR="00C65C79">
        <w:rPr>
          <w:lang w:val="en-GB"/>
        </w:rPr>
        <w:t xml:space="preserve"> </w:t>
      </w:r>
      <w:r w:rsidR="00322C50">
        <w:rPr>
          <w:lang w:val="en-GB"/>
        </w:rPr>
        <w:t xml:space="preserve">and capacity. </w:t>
      </w:r>
    </w:p>
    <w:p w14:paraId="10F79883" w14:textId="77777777" w:rsidR="00322C50" w:rsidRDefault="00322C50" w:rsidP="00155928">
      <w:pPr>
        <w:pStyle w:val="NoSpacing"/>
        <w:rPr>
          <w:lang w:val="en-GB"/>
        </w:rPr>
      </w:pPr>
    </w:p>
    <w:p w14:paraId="58886F8A" w14:textId="0801BA3C" w:rsidR="00155928" w:rsidRDefault="00C65C79" w:rsidP="00155928">
      <w:pPr>
        <w:pStyle w:val="NoSpacing"/>
        <w:rPr>
          <w:lang w:val="en-GB"/>
        </w:rPr>
      </w:pPr>
      <w:r>
        <w:rPr>
          <w:lang w:val="en-GB"/>
        </w:rPr>
        <w:t xml:space="preserve">We </w:t>
      </w:r>
      <w:r w:rsidR="00155928">
        <w:rPr>
          <w:lang w:val="en-GB"/>
        </w:rPr>
        <w:t xml:space="preserve">have identified </w:t>
      </w:r>
      <w:r>
        <w:rPr>
          <w:lang w:val="en-GB"/>
        </w:rPr>
        <w:t xml:space="preserve">the following </w:t>
      </w:r>
      <w:r w:rsidR="00155928">
        <w:rPr>
          <w:lang w:val="en-GB"/>
        </w:rPr>
        <w:t>topics under the broader heading of civic space</w:t>
      </w:r>
      <w:r w:rsidR="00AB0D87">
        <w:rPr>
          <w:lang w:val="en-GB"/>
        </w:rPr>
        <w:t>,</w:t>
      </w:r>
      <w:r w:rsidR="00155928">
        <w:rPr>
          <w:lang w:val="en-GB"/>
        </w:rPr>
        <w:t xml:space="preserve"> which we are specifically proposing for the cohort to explore</w:t>
      </w:r>
      <w:r w:rsidR="000A08B1">
        <w:rPr>
          <w:lang w:val="en-GB"/>
        </w:rPr>
        <w:t xml:space="preserve">. </w:t>
      </w:r>
      <w:r w:rsidR="00155928">
        <w:rPr>
          <w:lang w:val="en-GB"/>
        </w:rPr>
        <w:t xml:space="preserve">We believe these </w:t>
      </w:r>
      <w:r w:rsidR="00C03CC2">
        <w:rPr>
          <w:lang w:val="en-GB"/>
        </w:rPr>
        <w:t xml:space="preserve">topics would merit joint recommendations emanating from the </w:t>
      </w:r>
      <w:r w:rsidR="00FE2917">
        <w:rPr>
          <w:lang w:val="en-GB"/>
        </w:rPr>
        <w:t>S</w:t>
      </w:r>
      <w:r w:rsidR="00C03CC2">
        <w:rPr>
          <w:lang w:val="en-GB"/>
        </w:rPr>
        <w:t>econd Summit for Democracies</w:t>
      </w:r>
      <w:r w:rsidR="000A08B1">
        <w:rPr>
          <w:lang w:val="en-GB"/>
        </w:rPr>
        <w:t>.</w:t>
      </w:r>
      <w:r w:rsidR="00C03CC2">
        <w:rPr>
          <w:lang w:val="en-GB"/>
        </w:rPr>
        <w:t xml:space="preserve"> Additional topics could be included</w:t>
      </w:r>
      <w:r w:rsidR="00882229">
        <w:rPr>
          <w:lang w:val="en-GB"/>
        </w:rPr>
        <w:t>, provided a government and a civil society group are willing to jointly lead work on those topics</w:t>
      </w:r>
      <w:r w:rsidR="00C03CC2">
        <w:rPr>
          <w:lang w:val="en-GB"/>
        </w:rPr>
        <w:t xml:space="preserve">. </w:t>
      </w:r>
    </w:p>
    <w:p w14:paraId="052BF5CD" w14:textId="77777777" w:rsidR="00155928" w:rsidRDefault="00155928" w:rsidP="00155928">
      <w:pPr>
        <w:pStyle w:val="NoSpacing"/>
        <w:rPr>
          <w:lang w:val="en-GB"/>
        </w:rPr>
      </w:pPr>
    </w:p>
    <w:p w14:paraId="6DD21443" w14:textId="77777777" w:rsidR="00C03CC2" w:rsidRPr="000F6558" w:rsidRDefault="00C03CC2" w:rsidP="000F6558">
      <w:pPr>
        <w:pStyle w:val="NoSpacing"/>
        <w:rPr>
          <w:rFonts w:cstheme="minorHAnsi"/>
          <w:lang w:val="en-GB"/>
        </w:rPr>
      </w:pPr>
      <w:r>
        <w:rPr>
          <w:rFonts w:cstheme="minorHAnsi"/>
          <w:i/>
          <w:iCs/>
          <w:lang w:val="en-GB"/>
        </w:rPr>
        <w:t>National level:</w:t>
      </w:r>
    </w:p>
    <w:p w14:paraId="2287D058" w14:textId="675A5044" w:rsidR="00C03CC2" w:rsidRPr="000F6558" w:rsidRDefault="00C03CC2" w:rsidP="000F6558">
      <w:pPr>
        <w:pStyle w:val="NoSpacing"/>
        <w:numPr>
          <w:ilvl w:val="0"/>
          <w:numId w:val="10"/>
        </w:numPr>
        <w:rPr>
          <w:rFonts w:cstheme="minorHAnsi"/>
          <w:lang w:val="en-GB"/>
        </w:rPr>
      </w:pPr>
      <w:r>
        <w:rPr>
          <w:rFonts w:cstheme="minorHAnsi"/>
          <w:i/>
          <w:iCs/>
          <w:lang w:val="en-GB"/>
        </w:rPr>
        <w:t>Participation of National Human Rights Institutions and civil society, including human righ</w:t>
      </w:r>
      <w:r w:rsidR="00AB0D87">
        <w:rPr>
          <w:rFonts w:cstheme="minorHAnsi"/>
          <w:i/>
          <w:iCs/>
          <w:lang w:val="en-GB"/>
        </w:rPr>
        <w:t>t</w:t>
      </w:r>
      <w:r>
        <w:rPr>
          <w:rFonts w:cstheme="minorHAnsi"/>
          <w:i/>
          <w:iCs/>
          <w:lang w:val="en-GB"/>
        </w:rPr>
        <w:t>s organizations, in public decision-making process.</w:t>
      </w:r>
    </w:p>
    <w:p w14:paraId="2039802F" w14:textId="23334694" w:rsidR="00F05B8F" w:rsidRPr="000F6558" w:rsidRDefault="00F05B8F" w:rsidP="000F6558">
      <w:pPr>
        <w:pStyle w:val="NoSpacing"/>
        <w:numPr>
          <w:ilvl w:val="0"/>
          <w:numId w:val="10"/>
        </w:numPr>
        <w:rPr>
          <w:rFonts w:cstheme="minorHAnsi"/>
          <w:lang w:val="en-GB"/>
        </w:rPr>
      </w:pPr>
      <w:r>
        <w:rPr>
          <w:rFonts w:cstheme="minorHAnsi"/>
          <w:i/>
          <w:iCs/>
          <w:lang w:val="en-GB"/>
        </w:rPr>
        <w:t>Safe and enabling environment for social movements.</w:t>
      </w:r>
    </w:p>
    <w:p w14:paraId="4C336BB6" w14:textId="088BEC64" w:rsidR="00C03CC2" w:rsidRDefault="00C03CC2" w:rsidP="00F05B8F">
      <w:pPr>
        <w:pStyle w:val="NoSpacing"/>
        <w:ind w:left="720"/>
        <w:rPr>
          <w:rFonts w:cstheme="minorHAnsi"/>
          <w:lang w:val="en-GB"/>
        </w:rPr>
      </w:pPr>
    </w:p>
    <w:p w14:paraId="7AF8717F" w14:textId="523954E8" w:rsidR="00F05B8F" w:rsidRDefault="00F05B8F" w:rsidP="000F6558">
      <w:pPr>
        <w:pStyle w:val="NoSpacing"/>
        <w:rPr>
          <w:rFonts w:cstheme="minorHAnsi"/>
          <w:i/>
          <w:iCs/>
          <w:lang w:val="en-GB"/>
        </w:rPr>
      </w:pPr>
      <w:r w:rsidRPr="000F6558">
        <w:rPr>
          <w:rFonts w:cstheme="minorHAnsi"/>
          <w:i/>
          <w:iCs/>
          <w:lang w:val="en-GB"/>
        </w:rPr>
        <w:t>Civil society in exile:</w:t>
      </w:r>
    </w:p>
    <w:p w14:paraId="028165D6" w14:textId="0F8E3E82" w:rsidR="00155928" w:rsidRPr="00ED4E38" w:rsidRDefault="00F05B8F" w:rsidP="00EC56C7">
      <w:pPr>
        <w:pStyle w:val="NoSpacing"/>
        <w:numPr>
          <w:ilvl w:val="0"/>
          <w:numId w:val="8"/>
        </w:numPr>
        <w:rPr>
          <w:rFonts w:cstheme="minorHAnsi"/>
          <w:lang w:val="en-GB"/>
        </w:rPr>
      </w:pPr>
      <w:r>
        <w:rPr>
          <w:rFonts w:cstheme="minorHAnsi"/>
          <w:i/>
          <w:iCs/>
          <w:lang w:val="en-GB"/>
        </w:rPr>
        <w:t xml:space="preserve">Opportunities for human rights </w:t>
      </w:r>
      <w:r w:rsidR="00AB0D87">
        <w:rPr>
          <w:rFonts w:cstheme="minorHAnsi"/>
          <w:i/>
          <w:iCs/>
          <w:lang w:val="en-GB"/>
        </w:rPr>
        <w:t xml:space="preserve">defenders </w:t>
      </w:r>
      <w:r>
        <w:rPr>
          <w:rFonts w:cstheme="minorHAnsi"/>
          <w:i/>
          <w:iCs/>
          <w:lang w:val="en-GB"/>
        </w:rPr>
        <w:t xml:space="preserve">and </w:t>
      </w:r>
      <w:r w:rsidR="00AB0D87">
        <w:rPr>
          <w:rFonts w:cstheme="minorHAnsi"/>
          <w:i/>
          <w:iCs/>
          <w:lang w:val="en-GB"/>
        </w:rPr>
        <w:t>civil society</w:t>
      </w:r>
      <w:r>
        <w:rPr>
          <w:rFonts w:cstheme="minorHAnsi"/>
          <w:i/>
          <w:iCs/>
          <w:lang w:val="en-GB"/>
        </w:rPr>
        <w:t xml:space="preserve"> </w:t>
      </w:r>
      <w:r w:rsidR="00AB0D87">
        <w:rPr>
          <w:rFonts w:cstheme="minorHAnsi"/>
          <w:i/>
          <w:iCs/>
          <w:lang w:val="en-GB"/>
        </w:rPr>
        <w:t xml:space="preserve">to continue work </w:t>
      </w:r>
      <w:r>
        <w:rPr>
          <w:rFonts w:cstheme="minorHAnsi"/>
          <w:i/>
          <w:iCs/>
          <w:lang w:val="en-GB"/>
        </w:rPr>
        <w:t>in exile.</w:t>
      </w:r>
    </w:p>
    <w:p w14:paraId="35EAD50C" w14:textId="77777777" w:rsidR="00F05B8F" w:rsidRDefault="00F05B8F" w:rsidP="00F05B8F">
      <w:pPr>
        <w:pStyle w:val="NoSpacing"/>
        <w:rPr>
          <w:rFonts w:cstheme="minorHAnsi"/>
          <w:i/>
          <w:iCs/>
          <w:lang w:val="en-GB"/>
        </w:rPr>
      </w:pPr>
      <w:r>
        <w:rPr>
          <w:rFonts w:cstheme="minorHAnsi"/>
          <w:i/>
          <w:iCs/>
          <w:lang w:val="en-GB"/>
        </w:rPr>
        <w:br/>
        <w:t xml:space="preserve">Global efforts to support </w:t>
      </w:r>
      <w:r w:rsidR="00155928" w:rsidRPr="00ED4E38">
        <w:rPr>
          <w:rFonts w:cstheme="minorHAnsi"/>
          <w:i/>
          <w:iCs/>
          <w:lang w:val="en-GB"/>
        </w:rPr>
        <w:t>Human rights defenders</w:t>
      </w:r>
      <w:r>
        <w:rPr>
          <w:rFonts w:cstheme="minorHAnsi"/>
          <w:i/>
          <w:iCs/>
          <w:lang w:val="en-GB"/>
        </w:rPr>
        <w:t>:</w:t>
      </w:r>
    </w:p>
    <w:p w14:paraId="594CBDA8" w14:textId="28816060" w:rsidR="00FE2917" w:rsidRDefault="00FE2917" w:rsidP="00F05B8F">
      <w:pPr>
        <w:pStyle w:val="NoSpacing"/>
        <w:numPr>
          <w:ilvl w:val="0"/>
          <w:numId w:val="8"/>
        </w:numPr>
        <w:rPr>
          <w:rFonts w:cstheme="minorHAnsi"/>
          <w:i/>
          <w:iCs/>
          <w:lang w:val="en-GB"/>
        </w:rPr>
      </w:pPr>
      <w:r>
        <w:rPr>
          <w:rFonts w:cstheme="minorHAnsi"/>
          <w:i/>
          <w:iCs/>
          <w:lang w:val="en-GB"/>
        </w:rPr>
        <w:t xml:space="preserve">Use the 25th anniversary for the Declaration on Human Rights Defenders in 2023 to strengthen support </w:t>
      </w:r>
      <w:r w:rsidR="004A04DF">
        <w:rPr>
          <w:rFonts w:cstheme="minorHAnsi"/>
          <w:i/>
          <w:iCs/>
          <w:lang w:val="en-GB"/>
        </w:rPr>
        <w:t xml:space="preserve">to </w:t>
      </w:r>
      <w:r>
        <w:rPr>
          <w:rFonts w:cstheme="minorHAnsi"/>
          <w:i/>
          <w:iCs/>
          <w:lang w:val="en-GB"/>
        </w:rPr>
        <w:t>and recognition of human rights defenders.</w:t>
      </w:r>
    </w:p>
    <w:p w14:paraId="3BE4E0DD" w14:textId="67CF9912" w:rsidR="00155928" w:rsidRPr="000F6558" w:rsidRDefault="00FE2917" w:rsidP="000F6558">
      <w:pPr>
        <w:pStyle w:val="NoSpacing"/>
        <w:numPr>
          <w:ilvl w:val="0"/>
          <w:numId w:val="8"/>
        </w:numPr>
        <w:rPr>
          <w:i/>
          <w:iCs/>
          <w:lang w:val="en-GB"/>
        </w:rPr>
      </w:pPr>
      <w:r w:rsidRPr="000F6558">
        <w:rPr>
          <w:rFonts w:cstheme="minorHAnsi"/>
          <w:i/>
          <w:iCs/>
          <w:lang w:val="en-GB"/>
        </w:rPr>
        <w:t>Implement OECD DAC Recommendation on Enabling Civil Soci</w:t>
      </w:r>
      <w:r w:rsidR="00AB0D87">
        <w:rPr>
          <w:rFonts w:cstheme="minorHAnsi"/>
          <w:i/>
          <w:iCs/>
          <w:lang w:val="en-GB"/>
        </w:rPr>
        <w:t>e</w:t>
      </w:r>
      <w:r w:rsidRPr="000F6558">
        <w:rPr>
          <w:rFonts w:cstheme="minorHAnsi"/>
          <w:i/>
          <w:iCs/>
          <w:lang w:val="en-GB"/>
        </w:rPr>
        <w:t>ty in Development Co-operation and Humanitarian Assistance.</w:t>
      </w:r>
    </w:p>
    <w:p w14:paraId="6FAE3393" w14:textId="77777777" w:rsidR="00F05B8F" w:rsidRDefault="00F05B8F" w:rsidP="00C77BD1">
      <w:pPr>
        <w:pStyle w:val="NoSpacing"/>
        <w:rPr>
          <w:i/>
          <w:iCs/>
          <w:lang w:val="en-GB"/>
        </w:rPr>
      </w:pPr>
    </w:p>
    <w:p w14:paraId="723E7842" w14:textId="2722734E" w:rsidR="0036631C" w:rsidRPr="00155928" w:rsidRDefault="0036631C" w:rsidP="00C77BD1">
      <w:pPr>
        <w:pStyle w:val="NoSpacing"/>
        <w:rPr>
          <w:i/>
          <w:iCs/>
          <w:lang w:val="en-GB"/>
        </w:rPr>
      </w:pPr>
      <w:r w:rsidRPr="00155928">
        <w:rPr>
          <w:i/>
          <w:iCs/>
          <w:lang w:val="en-GB"/>
        </w:rPr>
        <w:t>Outcomes:</w:t>
      </w:r>
    </w:p>
    <w:p w14:paraId="3AA85F40" w14:textId="0D8A33F4" w:rsidR="00356E9C" w:rsidRDefault="000A08B1" w:rsidP="00514D94">
      <w:pPr>
        <w:pStyle w:val="NoSpacing"/>
        <w:rPr>
          <w:lang w:val="en-GB"/>
        </w:rPr>
      </w:pPr>
      <w:r>
        <w:rPr>
          <w:lang w:val="en-GB"/>
        </w:rPr>
        <w:t xml:space="preserve">The co-leads aim for the </w:t>
      </w:r>
      <w:r w:rsidR="0038281F">
        <w:rPr>
          <w:lang w:val="en-GB"/>
        </w:rPr>
        <w:t xml:space="preserve">cohort </w:t>
      </w:r>
      <w:r>
        <w:rPr>
          <w:lang w:val="en-GB"/>
        </w:rPr>
        <w:t xml:space="preserve">to </w:t>
      </w:r>
      <w:r w:rsidR="0038281F">
        <w:rPr>
          <w:lang w:val="en-GB"/>
        </w:rPr>
        <w:t>prepare</w:t>
      </w:r>
      <w:r w:rsidR="00FE2917">
        <w:rPr>
          <w:lang w:val="en-GB"/>
        </w:rPr>
        <w:t xml:space="preserve"> commitments</w:t>
      </w:r>
      <w:r w:rsidR="00514D94">
        <w:rPr>
          <w:lang w:val="en-GB"/>
        </w:rPr>
        <w:t xml:space="preserve"> </w:t>
      </w:r>
      <w:r w:rsidR="00B37DBD">
        <w:rPr>
          <w:lang w:val="en-GB"/>
        </w:rPr>
        <w:t>that address the need to safeguard civic space</w:t>
      </w:r>
      <w:r w:rsidR="00AB0D87">
        <w:rPr>
          <w:lang w:val="en-GB"/>
        </w:rPr>
        <w:t>.  In doing so, the cohort intends to</w:t>
      </w:r>
      <w:r w:rsidR="00356E9C">
        <w:rPr>
          <w:lang w:val="en-GB"/>
        </w:rPr>
        <w:t xml:space="preserve">: </w:t>
      </w:r>
    </w:p>
    <w:p w14:paraId="12DB6E90" w14:textId="7FFA6B74" w:rsidR="00514D94" w:rsidRDefault="004A04DF" w:rsidP="00356E9C">
      <w:pPr>
        <w:pStyle w:val="NoSpacing"/>
        <w:numPr>
          <w:ilvl w:val="0"/>
          <w:numId w:val="7"/>
        </w:numPr>
        <w:rPr>
          <w:lang w:val="en-GB"/>
        </w:rPr>
      </w:pPr>
      <w:r>
        <w:rPr>
          <w:lang w:val="en-GB"/>
        </w:rPr>
        <w:lastRenderedPageBreak/>
        <w:t>Discuss</w:t>
      </w:r>
      <w:r w:rsidR="00356E9C">
        <w:rPr>
          <w:lang w:val="en-GB"/>
        </w:rPr>
        <w:t xml:space="preserve"> i</w:t>
      </w:r>
      <w:r w:rsidR="00514D94">
        <w:rPr>
          <w:lang w:val="en-GB"/>
        </w:rPr>
        <w:t xml:space="preserve">mplementation </w:t>
      </w:r>
      <w:r w:rsidR="009A78C5">
        <w:rPr>
          <w:lang w:val="en-GB"/>
        </w:rPr>
        <w:t xml:space="preserve">and share examples of best practices relating to </w:t>
      </w:r>
      <w:r w:rsidR="00356E9C">
        <w:rPr>
          <w:lang w:val="en-GB"/>
        </w:rPr>
        <w:t>existing</w:t>
      </w:r>
      <w:r w:rsidR="00514D94">
        <w:rPr>
          <w:lang w:val="en-GB"/>
        </w:rPr>
        <w:t xml:space="preserve"> commitments </w:t>
      </w:r>
      <w:r w:rsidR="00061F6A">
        <w:rPr>
          <w:lang w:val="en-GB"/>
        </w:rPr>
        <w:t xml:space="preserve">on </w:t>
      </w:r>
      <w:r w:rsidR="005A0D2C">
        <w:rPr>
          <w:lang w:val="en-GB"/>
        </w:rPr>
        <w:t xml:space="preserve">civil society and </w:t>
      </w:r>
      <w:r w:rsidR="00514D94">
        <w:rPr>
          <w:lang w:val="en-GB"/>
        </w:rPr>
        <w:t>civic space</w:t>
      </w:r>
      <w:r w:rsidR="00061F6A">
        <w:rPr>
          <w:lang w:val="en-GB"/>
        </w:rPr>
        <w:t xml:space="preserve"> made during the first Summit for Democracy</w:t>
      </w:r>
      <w:r w:rsidR="00A40855">
        <w:rPr>
          <w:lang w:val="en-GB"/>
        </w:rPr>
        <w:t xml:space="preserve">. </w:t>
      </w:r>
    </w:p>
    <w:p w14:paraId="05D96DA4" w14:textId="58655828" w:rsidR="009A78C5" w:rsidRDefault="009A78C5" w:rsidP="00356E9C">
      <w:pPr>
        <w:pStyle w:val="NoSpacing"/>
        <w:numPr>
          <w:ilvl w:val="0"/>
          <w:numId w:val="7"/>
        </w:numPr>
        <w:rPr>
          <w:lang w:val="en-GB"/>
        </w:rPr>
      </w:pPr>
      <w:r>
        <w:rPr>
          <w:lang w:val="en-GB"/>
        </w:rPr>
        <w:t>Consider the need and interest for new commitments</w:t>
      </w:r>
      <w:r w:rsidR="000051EC">
        <w:rPr>
          <w:lang w:val="en-GB"/>
        </w:rPr>
        <w:t xml:space="preserve"> relating to cohort workstreams</w:t>
      </w:r>
      <w:r>
        <w:rPr>
          <w:lang w:val="en-GB"/>
        </w:rPr>
        <w:t>.</w:t>
      </w:r>
    </w:p>
    <w:p w14:paraId="2DC5F39A" w14:textId="611B7230" w:rsidR="00496381" w:rsidRPr="00DB4BF5" w:rsidRDefault="00BA41E8" w:rsidP="00356E9C">
      <w:pPr>
        <w:pStyle w:val="NoSpacing"/>
        <w:numPr>
          <w:ilvl w:val="0"/>
          <w:numId w:val="7"/>
        </w:numPr>
        <w:rPr>
          <w:lang w:val="en-GB"/>
        </w:rPr>
      </w:pPr>
      <w:r w:rsidRPr="00DB4BF5">
        <w:rPr>
          <w:lang w:val="en-GB"/>
        </w:rPr>
        <w:t>D</w:t>
      </w:r>
      <w:r w:rsidR="00356E9C" w:rsidRPr="00DB4BF5">
        <w:rPr>
          <w:lang w:val="en-GB"/>
        </w:rPr>
        <w:t xml:space="preserve">evelop and </w:t>
      </w:r>
      <w:r w:rsidR="00496381" w:rsidRPr="00DB4BF5">
        <w:rPr>
          <w:lang w:val="en-GB"/>
        </w:rPr>
        <w:t>encourage</w:t>
      </w:r>
      <w:r w:rsidR="00356E9C" w:rsidRPr="00DB4BF5">
        <w:rPr>
          <w:lang w:val="en-GB"/>
        </w:rPr>
        <w:t xml:space="preserve"> </w:t>
      </w:r>
      <w:r w:rsidR="004A04DF">
        <w:rPr>
          <w:lang w:val="en-GB"/>
        </w:rPr>
        <w:t>joint</w:t>
      </w:r>
      <w:r w:rsidR="00356E9C" w:rsidRPr="00DB4BF5">
        <w:rPr>
          <w:lang w:val="en-GB"/>
        </w:rPr>
        <w:t xml:space="preserve"> commitments for </w:t>
      </w:r>
      <w:r w:rsidR="00061F6A" w:rsidRPr="00DB4BF5">
        <w:rPr>
          <w:lang w:val="en-GB"/>
        </w:rPr>
        <w:t>S</w:t>
      </w:r>
      <w:r w:rsidR="00356E9C" w:rsidRPr="00DB4BF5">
        <w:rPr>
          <w:lang w:val="en-GB"/>
        </w:rPr>
        <w:t xml:space="preserve">ummit for </w:t>
      </w:r>
      <w:r w:rsidR="00061F6A" w:rsidRPr="00DB4BF5">
        <w:rPr>
          <w:lang w:val="en-GB"/>
        </w:rPr>
        <w:t>D</w:t>
      </w:r>
      <w:r w:rsidR="00356E9C" w:rsidRPr="00DB4BF5">
        <w:rPr>
          <w:lang w:val="en-GB"/>
        </w:rPr>
        <w:t>emocracy countries</w:t>
      </w:r>
      <w:r w:rsidR="000051EC">
        <w:rPr>
          <w:lang w:val="en-GB"/>
        </w:rPr>
        <w:t xml:space="preserve"> relating to cohort workstreams</w:t>
      </w:r>
      <w:r w:rsidR="00DB4BF5">
        <w:rPr>
          <w:lang w:val="en-GB"/>
        </w:rPr>
        <w:t>, domestic as well as foreign oriented.</w:t>
      </w:r>
    </w:p>
    <w:p w14:paraId="2437EDB6" w14:textId="77777777" w:rsidR="00514D94" w:rsidRDefault="00514D94">
      <w:pPr>
        <w:pStyle w:val="NoSpacing"/>
        <w:rPr>
          <w:lang w:val="en-GB"/>
        </w:rPr>
      </w:pPr>
    </w:p>
    <w:p w14:paraId="771C04E2" w14:textId="3D4D0504" w:rsidR="00514D94" w:rsidRPr="00514D94" w:rsidRDefault="00514D94">
      <w:pPr>
        <w:pStyle w:val="NoSpacing"/>
        <w:rPr>
          <w:lang w:val="en-GB"/>
        </w:rPr>
      </w:pPr>
      <w:r>
        <w:rPr>
          <w:i/>
          <w:iCs/>
          <w:lang w:val="en-GB"/>
        </w:rPr>
        <w:t>Process</w:t>
      </w:r>
      <w:r>
        <w:rPr>
          <w:lang w:val="en-GB"/>
        </w:rPr>
        <w:t xml:space="preserve">: </w:t>
      </w:r>
    </w:p>
    <w:p w14:paraId="29142AD3" w14:textId="74F89545" w:rsidR="00BA10C6" w:rsidRDefault="00155928">
      <w:pPr>
        <w:pStyle w:val="NoSpacing"/>
        <w:rPr>
          <w:lang w:val="en-GB"/>
        </w:rPr>
      </w:pPr>
      <w:r>
        <w:rPr>
          <w:lang w:val="en-GB"/>
        </w:rPr>
        <w:t xml:space="preserve">All </w:t>
      </w:r>
      <w:r w:rsidR="00BA10C6">
        <w:rPr>
          <w:lang w:val="en-GB"/>
        </w:rPr>
        <w:t xml:space="preserve">countries participating at the Summit for Democracy </w:t>
      </w:r>
      <w:r>
        <w:rPr>
          <w:lang w:val="en-GB"/>
        </w:rPr>
        <w:t>will be invited to participate and</w:t>
      </w:r>
      <w:r w:rsidR="00955C7F">
        <w:rPr>
          <w:lang w:val="en-GB"/>
        </w:rPr>
        <w:t xml:space="preserve"> to contribute</w:t>
      </w:r>
      <w:r w:rsidR="00BA10C6">
        <w:rPr>
          <w:lang w:val="en-GB"/>
        </w:rPr>
        <w:t xml:space="preserve">. </w:t>
      </w:r>
      <w:r w:rsidR="00514D94">
        <w:rPr>
          <w:lang w:val="en-GB"/>
        </w:rPr>
        <w:t xml:space="preserve">We </w:t>
      </w:r>
      <w:r>
        <w:rPr>
          <w:lang w:val="en-GB"/>
        </w:rPr>
        <w:t xml:space="preserve">will </w:t>
      </w:r>
      <w:r w:rsidR="00514D94">
        <w:rPr>
          <w:lang w:val="en-GB"/>
        </w:rPr>
        <w:t xml:space="preserve">also </w:t>
      </w:r>
      <w:r w:rsidR="00BD7882">
        <w:rPr>
          <w:lang w:val="en-GB"/>
        </w:rPr>
        <w:t xml:space="preserve">consider additional </w:t>
      </w:r>
      <w:r w:rsidR="003E4623">
        <w:rPr>
          <w:lang w:val="en-GB"/>
        </w:rPr>
        <w:t xml:space="preserve">contributions </w:t>
      </w:r>
      <w:r w:rsidR="00BD7882">
        <w:rPr>
          <w:lang w:val="en-GB"/>
        </w:rPr>
        <w:t xml:space="preserve">from other international </w:t>
      </w:r>
      <w:r w:rsidR="00DB4BF5">
        <w:rPr>
          <w:lang w:val="en-GB"/>
        </w:rPr>
        <w:t>organizations</w:t>
      </w:r>
      <w:r w:rsidR="00C02639">
        <w:rPr>
          <w:lang w:val="en-GB"/>
        </w:rPr>
        <w:t xml:space="preserve">, </w:t>
      </w:r>
      <w:r w:rsidR="00BD7882">
        <w:rPr>
          <w:lang w:val="en-GB"/>
        </w:rPr>
        <w:t xml:space="preserve">and </w:t>
      </w:r>
      <w:r>
        <w:rPr>
          <w:lang w:val="en-GB"/>
        </w:rPr>
        <w:t xml:space="preserve">civil society </w:t>
      </w:r>
      <w:r w:rsidR="00BD7882">
        <w:rPr>
          <w:lang w:val="en-GB"/>
        </w:rPr>
        <w:t>organisations</w:t>
      </w:r>
      <w:r>
        <w:rPr>
          <w:lang w:val="en-GB"/>
        </w:rPr>
        <w:t>.</w:t>
      </w:r>
      <w:r w:rsidR="0038281F">
        <w:rPr>
          <w:lang w:val="en-GB"/>
        </w:rPr>
        <w:t xml:space="preserve"> </w:t>
      </w:r>
    </w:p>
    <w:p w14:paraId="7C157EF9" w14:textId="77777777" w:rsidR="00FE2917" w:rsidRDefault="00FE2917">
      <w:pPr>
        <w:pStyle w:val="NoSpacing"/>
        <w:rPr>
          <w:lang w:val="en-GB"/>
        </w:rPr>
      </w:pPr>
    </w:p>
    <w:p w14:paraId="7F026FFC" w14:textId="6B964D49" w:rsidR="00114966" w:rsidRPr="00FC33C9" w:rsidRDefault="00C02639" w:rsidP="00ED4E38">
      <w:pPr>
        <w:pStyle w:val="NoSpacing"/>
        <w:rPr>
          <w:lang w:val="en-GB"/>
        </w:rPr>
      </w:pPr>
      <w:r>
        <w:rPr>
          <w:lang w:val="en-GB"/>
        </w:rPr>
        <w:t>The co-leads</w:t>
      </w:r>
      <w:r w:rsidR="00AD1E1F">
        <w:rPr>
          <w:lang w:val="en-GB"/>
        </w:rPr>
        <w:t xml:space="preserve"> foresee </w:t>
      </w:r>
      <w:r w:rsidR="00951A8A">
        <w:rPr>
          <w:lang w:val="en-GB"/>
        </w:rPr>
        <w:t xml:space="preserve">several, primarily VTC, </w:t>
      </w:r>
      <w:r w:rsidR="001368A3">
        <w:rPr>
          <w:lang w:val="en-GB"/>
        </w:rPr>
        <w:t>meetings</w:t>
      </w:r>
      <w:r w:rsidR="00AD1E1F">
        <w:rPr>
          <w:lang w:val="en-GB"/>
        </w:rPr>
        <w:t xml:space="preserve"> before the next Summit</w:t>
      </w:r>
      <w:r w:rsidR="00C334EE">
        <w:rPr>
          <w:lang w:val="en-GB"/>
        </w:rPr>
        <w:t>, with the option to organise additional meetings as needed</w:t>
      </w:r>
      <w:r w:rsidR="00AD1E1F">
        <w:rPr>
          <w:lang w:val="en-GB"/>
        </w:rPr>
        <w:t xml:space="preserve">. </w:t>
      </w:r>
      <w:r w:rsidR="00951A8A">
        <w:rPr>
          <w:lang w:val="en-GB"/>
        </w:rPr>
        <w:t xml:space="preserve">The first meeting will take place on 18 October at 14:30 CET (12:30 GMT). </w:t>
      </w:r>
    </w:p>
    <w:sectPr w:rsidR="00114966" w:rsidRPr="00FC33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95C4" w14:textId="77777777" w:rsidR="00BB386A" w:rsidRDefault="00BB386A" w:rsidP="00C77BD1">
      <w:pPr>
        <w:spacing w:after="0" w:line="240" w:lineRule="auto"/>
      </w:pPr>
      <w:r>
        <w:separator/>
      </w:r>
    </w:p>
  </w:endnote>
  <w:endnote w:type="continuationSeparator" w:id="0">
    <w:p w14:paraId="35C15848" w14:textId="77777777" w:rsidR="00BB386A" w:rsidRDefault="00BB386A" w:rsidP="00C7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72AD" w14:textId="77777777" w:rsidR="00BB386A" w:rsidRDefault="00BB386A" w:rsidP="00C77BD1">
      <w:pPr>
        <w:spacing w:after="0" w:line="240" w:lineRule="auto"/>
      </w:pPr>
      <w:r>
        <w:separator/>
      </w:r>
    </w:p>
  </w:footnote>
  <w:footnote w:type="continuationSeparator" w:id="0">
    <w:p w14:paraId="4124992A" w14:textId="77777777" w:rsidR="00BB386A" w:rsidRDefault="00BB386A" w:rsidP="00C77BD1">
      <w:pPr>
        <w:spacing w:after="0" w:line="240" w:lineRule="auto"/>
      </w:pPr>
      <w:r>
        <w:continuationSeparator/>
      </w:r>
    </w:p>
  </w:footnote>
  <w:footnote w:id="1">
    <w:p w14:paraId="7C4AB00A" w14:textId="77777777" w:rsidR="0065511F" w:rsidRPr="00C77BD1" w:rsidRDefault="0065511F" w:rsidP="0065511F">
      <w:pPr>
        <w:pStyle w:val="FootnoteText"/>
        <w:rPr>
          <w:lang w:val="en-GB"/>
        </w:rPr>
      </w:pPr>
      <w:r>
        <w:rPr>
          <w:rStyle w:val="FootnoteReference"/>
        </w:rPr>
        <w:footnoteRef/>
      </w:r>
      <w:r w:rsidRPr="00C77BD1">
        <w:rPr>
          <w:lang w:val="en-GB"/>
        </w:rPr>
        <w:t xml:space="preserve"> </w:t>
      </w:r>
      <w:r w:rsidRPr="00C77BD1">
        <w:rPr>
          <w:b/>
          <w:bCs/>
          <w:lang w:val="en-GB"/>
        </w:rPr>
        <w:t>Civic space</w:t>
      </w:r>
      <w:r w:rsidRPr="00C77BD1">
        <w:rPr>
          <w:lang w:val="en-GB"/>
        </w:rPr>
        <w:t> is the physical, virtual, legal, regulatory, and policy space where people can, among other things, securely exercise their rights to the freedoms of peaceful assembly, association, and expression, in keeping with human rights.</w:t>
      </w:r>
      <w:r>
        <w:rPr>
          <w:lang w:val="en-GB"/>
        </w:rPr>
        <w:t xml:space="preserve"> Source: </w:t>
      </w:r>
      <w:hyperlink r:id="rId1" w:history="1">
        <w:r w:rsidRPr="0065511F">
          <w:rPr>
            <w:rStyle w:val="Hyperlink"/>
            <w:lang w:val="en-GB"/>
          </w:rPr>
          <w:t>OECD Legal Instruments</w:t>
        </w:r>
      </w:hyperlink>
      <w:r w:rsidRPr="0065511F">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73C4E"/>
    <w:multiLevelType w:val="hybridMultilevel"/>
    <w:tmpl w:val="B8CAAD0C"/>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DF5544"/>
    <w:multiLevelType w:val="hybridMultilevel"/>
    <w:tmpl w:val="ACEEBFF0"/>
    <w:lvl w:ilvl="0" w:tplc="4BAC8B0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7340A4"/>
    <w:multiLevelType w:val="hybridMultilevel"/>
    <w:tmpl w:val="C112512C"/>
    <w:lvl w:ilvl="0" w:tplc="04140009">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A191E87"/>
    <w:multiLevelType w:val="hybridMultilevel"/>
    <w:tmpl w:val="98EABD52"/>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2913D8"/>
    <w:multiLevelType w:val="hybridMultilevel"/>
    <w:tmpl w:val="B83C4DD4"/>
    <w:lvl w:ilvl="0" w:tplc="041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7201A6"/>
    <w:multiLevelType w:val="hybridMultilevel"/>
    <w:tmpl w:val="D34C9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48604D7"/>
    <w:multiLevelType w:val="hybridMultilevel"/>
    <w:tmpl w:val="7AFCB49C"/>
    <w:lvl w:ilvl="0" w:tplc="F35EEB96">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7" w15:restartNumberingAfterBreak="0">
    <w:nsid w:val="6E9A5282"/>
    <w:multiLevelType w:val="hybridMultilevel"/>
    <w:tmpl w:val="2C9CE7FE"/>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F0C44F3"/>
    <w:multiLevelType w:val="hybridMultilevel"/>
    <w:tmpl w:val="E0781DD6"/>
    <w:lvl w:ilvl="0" w:tplc="8DAA1C9C">
      <w:numFmt w:val="bullet"/>
      <w:lvlText w:val="-"/>
      <w:lvlJc w:val="left"/>
      <w:pPr>
        <w:ind w:left="1776" w:hanging="360"/>
      </w:pPr>
      <w:rPr>
        <w:rFonts w:ascii="Calibri" w:eastAsiaTheme="minorHAns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7F7215DC"/>
    <w:multiLevelType w:val="hybridMultilevel"/>
    <w:tmpl w:val="A7CCB14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737241594">
    <w:abstractNumId w:val="1"/>
  </w:num>
  <w:num w:numId="2" w16cid:durableId="653680856">
    <w:abstractNumId w:val="6"/>
  </w:num>
  <w:num w:numId="3" w16cid:durableId="2362895">
    <w:abstractNumId w:val="8"/>
  </w:num>
  <w:num w:numId="4" w16cid:durableId="229048742">
    <w:abstractNumId w:val="2"/>
  </w:num>
  <w:num w:numId="5" w16cid:durableId="825126954">
    <w:abstractNumId w:val="3"/>
  </w:num>
  <w:num w:numId="6" w16cid:durableId="295642953">
    <w:abstractNumId w:val="7"/>
  </w:num>
  <w:num w:numId="7" w16cid:durableId="1086658145">
    <w:abstractNumId w:val="4"/>
  </w:num>
  <w:num w:numId="8" w16cid:durableId="133917385">
    <w:abstractNumId w:val="0"/>
  </w:num>
  <w:num w:numId="9" w16cid:durableId="1202282678">
    <w:abstractNumId w:val="9"/>
  </w:num>
  <w:num w:numId="10" w16cid:durableId="968557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B6"/>
    <w:rsid w:val="000051EC"/>
    <w:rsid w:val="00010BC1"/>
    <w:rsid w:val="00061F6A"/>
    <w:rsid w:val="0008158C"/>
    <w:rsid w:val="00086AB6"/>
    <w:rsid w:val="00095D33"/>
    <w:rsid w:val="000A08B1"/>
    <w:rsid w:val="000B32B3"/>
    <w:rsid w:val="000B3DA2"/>
    <w:rsid w:val="000F6558"/>
    <w:rsid w:val="00100BB1"/>
    <w:rsid w:val="00114966"/>
    <w:rsid w:val="0013307C"/>
    <w:rsid w:val="00133DC2"/>
    <w:rsid w:val="001341E3"/>
    <w:rsid w:val="00134DEC"/>
    <w:rsid w:val="001368A3"/>
    <w:rsid w:val="00155928"/>
    <w:rsid w:val="00170B6A"/>
    <w:rsid w:val="001929BD"/>
    <w:rsid w:val="001E36ED"/>
    <w:rsid w:val="001F7163"/>
    <w:rsid w:val="0022497C"/>
    <w:rsid w:val="00230852"/>
    <w:rsid w:val="00263F42"/>
    <w:rsid w:val="002938D3"/>
    <w:rsid w:val="002A41C1"/>
    <w:rsid w:val="0032190E"/>
    <w:rsid w:val="003220E7"/>
    <w:rsid w:val="00322C50"/>
    <w:rsid w:val="00324F34"/>
    <w:rsid w:val="00347355"/>
    <w:rsid w:val="00356E9C"/>
    <w:rsid w:val="0036631C"/>
    <w:rsid w:val="003679E1"/>
    <w:rsid w:val="0038281F"/>
    <w:rsid w:val="003E0165"/>
    <w:rsid w:val="003E315B"/>
    <w:rsid w:val="003E4623"/>
    <w:rsid w:val="003F018C"/>
    <w:rsid w:val="00426003"/>
    <w:rsid w:val="0046436F"/>
    <w:rsid w:val="00496381"/>
    <w:rsid w:val="004A04DF"/>
    <w:rsid w:val="004D5AEF"/>
    <w:rsid w:val="004F778B"/>
    <w:rsid w:val="00514D94"/>
    <w:rsid w:val="00552087"/>
    <w:rsid w:val="00555406"/>
    <w:rsid w:val="0056481F"/>
    <w:rsid w:val="005A0D2C"/>
    <w:rsid w:val="005D71F7"/>
    <w:rsid w:val="005F1AEA"/>
    <w:rsid w:val="006015A9"/>
    <w:rsid w:val="0061674D"/>
    <w:rsid w:val="00652A3C"/>
    <w:rsid w:val="0065511F"/>
    <w:rsid w:val="006A1896"/>
    <w:rsid w:val="006C4CE0"/>
    <w:rsid w:val="006E4D7F"/>
    <w:rsid w:val="00701209"/>
    <w:rsid w:val="00742D36"/>
    <w:rsid w:val="00743DC4"/>
    <w:rsid w:val="007802C2"/>
    <w:rsid w:val="00792DB1"/>
    <w:rsid w:val="007A7133"/>
    <w:rsid w:val="007C1CC8"/>
    <w:rsid w:val="007D7B39"/>
    <w:rsid w:val="00867E4C"/>
    <w:rsid w:val="0087129F"/>
    <w:rsid w:val="00882229"/>
    <w:rsid w:val="008D3385"/>
    <w:rsid w:val="00916F84"/>
    <w:rsid w:val="00951A8A"/>
    <w:rsid w:val="00955C7F"/>
    <w:rsid w:val="009A485F"/>
    <w:rsid w:val="009A78C5"/>
    <w:rsid w:val="009B4ACF"/>
    <w:rsid w:val="009C197C"/>
    <w:rsid w:val="009F238F"/>
    <w:rsid w:val="00A02FC6"/>
    <w:rsid w:val="00A06296"/>
    <w:rsid w:val="00A40855"/>
    <w:rsid w:val="00AB0D87"/>
    <w:rsid w:val="00AD1E1F"/>
    <w:rsid w:val="00B0276E"/>
    <w:rsid w:val="00B3344E"/>
    <w:rsid w:val="00B34709"/>
    <w:rsid w:val="00B37DBD"/>
    <w:rsid w:val="00B4509A"/>
    <w:rsid w:val="00B5757F"/>
    <w:rsid w:val="00B763BA"/>
    <w:rsid w:val="00B828EB"/>
    <w:rsid w:val="00B83259"/>
    <w:rsid w:val="00BA10C6"/>
    <w:rsid w:val="00BA41E8"/>
    <w:rsid w:val="00BB386A"/>
    <w:rsid w:val="00BD7882"/>
    <w:rsid w:val="00BF2141"/>
    <w:rsid w:val="00BF4C36"/>
    <w:rsid w:val="00C02639"/>
    <w:rsid w:val="00C03CC2"/>
    <w:rsid w:val="00C334EE"/>
    <w:rsid w:val="00C601C8"/>
    <w:rsid w:val="00C65C79"/>
    <w:rsid w:val="00C7347E"/>
    <w:rsid w:val="00C77BD1"/>
    <w:rsid w:val="00CA5277"/>
    <w:rsid w:val="00CA5C3E"/>
    <w:rsid w:val="00D75492"/>
    <w:rsid w:val="00DA2D45"/>
    <w:rsid w:val="00DA523E"/>
    <w:rsid w:val="00DB4BF5"/>
    <w:rsid w:val="00DB57B4"/>
    <w:rsid w:val="00DD324D"/>
    <w:rsid w:val="00DF65C8"/>
    <w:rsid w:val="00E041AD"/>
    <w:rsid w:val="00E60B63"/>
    <w:rsid w:val="00E76AA0"/>
    <w:rsid w:val="00E87FB5"/>
    <w:rsid w:val="00EA5BD5"/>
    <w:rsid w:val="00EA7488"/>
    <w:rsid w:val="00EC22A2"/>
    <w:rsid w:val="00EC3116"/>
    <w:rsid w:val="00EC56C7"/>
    <w:rsid w:val="00ED4E38"/>
    <w:rsid w:val="00EF249D"/>
    <w:rsid w:val="00F05B8F"/>
    <w:rsid w:val="00F1375F"/>
    <w:rsid w:val="00F156BD"/>
    <w:rsid w:val="00F85B38"/>
    <w:rsid w:val="00FB1C55"/>
    <w:rsid w:val="00FB1F0B"/>
    <w:rsid w:val="00FC33C9"/>
    <w:rsid w:val="00FE2917"/>
    <w:rsid w:val="00FF3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1B2D"/>
  <w15:chartTrackingRefBased/>
  <w15:docId w15:val="{D147560C-028C-4DEB-8B91-CD1335A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B6"/>
    <w:pPr>
      <w:ind w:left="720"/>
      <w:contextualSpacing/>
    </w:pPr>
  </w:style>
  <w:style w:type="paragraph" w:styleId="NoSpacing">
    <w:name w:val="No Spacing"/>
    <w:uiPriority w:val="1"/>
    <w:qFormat/>
    <w:rsid w:val="00652A3C"/>
    <w:pPr>
      <w:spacing w:after="0" w:line="240" w:lineRule="auto"/>
    </w:pPr>
  </w:style>
  <w:style w:type="paragraph" w:styleId="FootnoteText">
    <w:name w:val="footnote text"/>
    <w:basedOn w:val="Normal"/>
    <w:link w:val="FootnoteTextChar"/>
    <w:uiPriority w:val="99"/>
    <w:semiHidden/>
    <w:unhideWhenUsed/>
    <w:rsid w:val="00C77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BD1"/>
    <w:rPr>
      <w:sz w:val="20"/>
      <w:szCs w:val="20"/>
    </w:rPr>
  </w:style>
  <w:style w:type="character" w:styleId="FootnoteReference">
    <w:name w:val="footnote reference"/>
    <w:basedOn w:val="DefaultParagraphFont"/>
    <w:uiPriority w:val="99"/>
    <w:semiHidden/>
    <w:unhideWhenUsed/>
    <w:rsid w:val="00C77BD1"/>
    <w:rPr>
      <w:vertAlign w:val="superscript"/>
    </w:rPr>
  </w:style>
  <w:style w:type="character" w:styleId="Hyperlink">
    <w:name w:val="Hyperlink"/>
    <w:basedOn w:val="DefaultParagraphFont"/>
    <w:uiPriority w:val="99"/>
    <w:semiHidden/>
    <w:unhideWhenUsed/>
    <w:rsid w:val="00324F34"/>
    <w:rPr>
      <w:color w:val="0000FF"/>
      <w:u w:val="single"/>
    </w:rPr>
  </w:style>
  <w:style w:type="character" w:styleId="CommentReference">
    <w:name w:val="annotation reference"/>
    <w:basedOn w:val="DefaultParagraphFont"/>
    <w:uiPriority w:val="99"/>
    <w:semiHidden/>
    <w:unhideWhenUsed/>
    <w:rsid w:val="0038281F"/>
    <w:rPr>
      <w:sz w:val="16"/>
      <w:szCs w:val="16"/>
    </w:rPr>
  </w:style>
  <w:style w:type="paragraph" w:styleId="CommentText">
    <w:name w:val="annotation text"/>
    <w:basedOn w:val="Normal"/>
    <w:link w:val="CommentTextChar"/>
    <w:uiPriority w:val="99"/>
    <w:unhideWhenUsed/>
    <w:rsid w:val="0038281F"/>
    <w:pPr>
      <w:spacing w:line="240" w:lineRule="auto"/>
    </w:pPr>
    <w:rPr>
      <w:sz w:val="20"/>
      <w:szCs w:val="20"/>
    </w:rPr>
  </w:style>
  <w:style w:type="character" w:customStyle="1" w:styleId="CommentTextChar">
    <w:name w:val="Comment Text Char"/>
    <w:basedOn w:val="DefaultParagraphFont"/>
    <w:link w:val="CommentText"/>
    <w:uiPriority w:val="99"/>
    <w:rsid w:val="0038281F"/>
    <w:rPr>
      <w:sz w:val="20"/>
      <w:szCs w:val="20"/>
    </w:rPr>
  </w:style>
  <w:style w:type="paragraph" w:styleId="CommentSubject">
    <w:name w:val="annotation subject"/>
    <w:basedOn w:val="CommentText"/>
    <w:next w:val="CommentText"/>
    <w:link w:val="CommentSubjectChar"/>
    <w:uiPriority w:val="99"/>
    <w:semiHidden/>
    <w:unhideWhenUsed/>
    <w:rsid w:val="0038281F"/>
    <w:rPr>
      <w:b/>
      <w:bCs/>
    </w:rPr>
  </w:style>
  <w:style w:type="character" w:customStyle="1" w:styleId="CommentSubjectChar">
    <w:name w:val="Comment Subject Char"/>
    <w:basedOn w:val="CommentTextChar"/>
    <w:link w:val="CommentSubject"/>
    <w:uiPriority w:val="99"/>
    <w:semiHidden/>
    <w:rsid w:val="0038281F"/>
    <w:rPr>
      <w:b/>
      <w:bCs/>
      <w:sz w:val="20"/>
      <w:szCs w:val="20"/>
    </w:rPr>
  </w:style>
  <w:style w:type="character" w:customStyle="1" w:styleId="Heading1Char">
    <w:name w:val="Heading 1 Char"/>
    <w:basedOn w:val="DefaultParagraphFont"/>
    <w:link w:val="Heading1"/>
    <w:uiPriority w:val="9"/>
    <w:rsid w:val="000B3DA2"/>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955C7F"/>
  </w:style>
  <w:style w:type="character" w:customStyle="1" w:styleId="spellingerror">
    <w:name w:val="spellingerror"/>
    <w:basedOn w:val="DefaultParagraphFont"/>
    <w:rsid w:val="00955C7F"/>
  </w:style>
  <w:style w:type="paragraph" w:styleId="BalloonText">
    <w:name w:val="Balloon Text"/>
    <w:basedOn w:val="Normal"/>
    <w:link w:val="BalloonTextChar"/>
    <w:uiPriority w:val="99"/>
    <w:semiHidden/>
    <w:unhideWhenUsed/>
    <w:rsid w:val="00951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8A"/>
    <w:rPr>
      <w:rFonts w:ascii="Segoe UI" w:hAnsi="Segoe UI" w:cs="Segoe UI"/>
      <w:sz w:val="18"/>
      <w:szCs w:val="18"/>
    </w:rPr>
  </w:style>
  <w:style w:type="paragraph" w:styleId="Revision">
    <w:name w:val="Revision"/>
    <w:hidden/>
    <w:uiPriority w:val="99"/>
    <w:semiHidden/>
    <w:rsid w:val="00EA5B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galinstruments.oecd.org/Instrument%20s/instruments/OECD-LEGAL-5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a3ff67f5daad68a5f2d135855b8827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56a065b2a1fa615a4832f59604ea62b"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4CBB0C-BFF6-445F-83D0-7F21C8260873}">
  <ds:schemaRefs>
    <ds:schemaRef ds:uri="http://schemas.openxmlformats.org/officeDocument/2006/bibliography"/>
  </ds:schemaRefs>
</ds:datastoreItem>
</file>

<file path=customXml/itemProps2.xml><?xml version="1.0" encoding="utf-8"?>
<ds:datastoreItem xmlns:ds="http://schemas.openxmlformats.org/officeDocument/2006/customXml" ds:itemID="{EB3D6CF8-1147-403F-89C1-9320AC6E7B2A}"/>
</file>

<file path=customXml/itemProps3.xml><?xml version="1.0" encoding="utf-8"?>
<ds:datastoreItem xmlns:ds="http://schemas.openxmlformats.org/officeDocument/2006/customXml" ds:itemID="{661E81F0-A75E-496C-B0D7-C4450F3ADA9C}"/>
</file>

<file path=customXml/itemProps4.xml><?xml version="1.0" encoding="utf-8"?>
<ds:datastoreItem xmlns:ds="http://schemas.openxmlformats.org/officeDocument/2006/customXml" ds:itemID="{7C8D4A27-FFF2-4E87-B1E6-269F6F1C6E08}"/>
</file>

<file path=docProps/app.xml><?xml version="1.0" encoding="utf-8"?>
<Properties xmlns="http://schemas.openxmlformats.org/officeDocument/2006/extended-properties" xmlns:vt="http://schemas.openxmlformats.org/officeDocument/2006/docPropsVTypes">
  <Template>Normal.dotm</Template>
  <TotalTime>9</TotalTime>
  <Pages>2</Pages>
  <Words>538</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Tordhol, Tor Håkon</dc:creator>
  <cp:keywords/>
  <dc:description/>
  <cp:lastModifiedBy>Torbergsen, Martin Hauge</cp:lastModifiedBy>
  <cp:revision>3</cp:revision>
  <cp:lastPrinted>2022-10-06T13:11:00Z</cp:lastPrinted>
  <dcterms:created xsi:type="dcterms:W3CDTF">2022-10-14T13:55:00Z</dcterms:created>
  <dcterms:modified xsi:type="dcterms:W3CDTF">2022-10-14T13:55:00Z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